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республиканский творческий конкурс «В созвездии А.С. Пушкина и Г.Тукая»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«В созвездии А.С. Пушкина и Г.Тукая»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«В созвездии А.С. Пушкина и Г.Тукая»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«В созвездии А.С. Пушкина и Г.Тукая»</w:t>
      </w:r>
      <w:r w:rsidR="00D14D9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«В созвездии А.С. Пушкина и Г.Тукая»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2D63DA" w:rsidRDefault="002D63DA">
      <w:pPr>
        <w:pStyle w:val="1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15A9" w:rsidRDefault="001615A9">
      <w:pPr>
        <w:pStyle w:val="1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республиканского творческого конкурса «В созвездии А.С. Пушкина и Г.Тукая»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республиканском творческом конкурсе «В созвездии А.С. Пушкина и Г.Тукая»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2D63DA">
        <w:rPr>
          <w:rFonts w:ascii="Times New Roman" w:eastAsia="Times New Roman" w:hAnsi="Times New Roman" w:cs="Times New Roman"/>
          <w:sz w:val="24"/>
        </w:rPr>
        <w:t>республиканский творческий конкурс «В созвездии А.С. Пушкина и Г.Тукая»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1234FF"/>
    <w:rsid w:val="001615A9"/>
    <w:rsid w:val="00212625"/>
    <w:rsid w:val="002D63DA"/>
    <w:rsid w:val="00305D23"/>
    <w:rsid w:val="003300DD"/>
    <w:rsid w:val="003922E2"/>
    <w:rsid w:val="004B5DF2"/>
    <w:rsid w:val="005C7D1B"/>
    <w:rsid w:val="00605E1F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2017-11-14T07:35:00Z</cp:lastPrinted>
  <dcterms:created xsi:type="dcterms:W3CDTF">2015-10-06T14:11:00Z</dcterms:created>
  <dcterms:modified xsi:type="dcterms:W3CDTF">2019-06-18T12:44:00Z</dcterms:modified>
</cp:coreProperties>
</file>